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</w:t>
      </w:r>
      <w:r w:rsidR="003671F8">
        <w:rPr>
          <w:rFonts w:asciiTheme="minorHAnsi" w:hAnsiTheme="minorHAnsi" w:cstheme="minorHAnsi"/>
          <w:b/>
          <w:color w:val="00B050"/>
          <w:sz w:val="28"/>
          <w:szCs w:val="28"/>
        </w:rPr>
        <w:t>8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FF0E5E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FF0E5E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2230F5" w:rsidRDefault="00ED1DE8" w:rsidP="002230F5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</w:t>
      </w:r>
      <w:r w:rsidR="002230F5">
        <w:rPr>
          <w:rFonts w:asciiTheme="minorHAnsi" w:hAnsiTheme="minorHAnsi" w:cstheme="minorHAnsi"/>
          <w:sz w:val="28"/>
          <w:szCs w:val="28"/>
        </w:rPr>
        <w:t xml:space="preserve"> do </w:t>
      </w:r>
      <w:r w:rsidR="002230F5" w:rsidRPr="002230F5">
        <w:rPr>
          <w:rFonts w:asciiTheme="minorHAnsi" w:hAnsiTheme="minorHAnsi" w:cstheme="minorHAnsi"/>
          <w:b/>
          <w:sz w:val="28"/>
          <w:szCs w:val="28"/>
        </w:rPr>
        <w:t>20.3.2025</w:t>
      </w:r>
      <w:r w:rsidR="00E4551E">
        <w:rPr>
          <w:rFonts w:asciiTheme="minorHAnsi" w:hAnsiTheme="minorHAnsi" w:cstheme="minorHAnsi"/>
          <w:sz w:val="28"/>
          <w:szCs w:val="28"/>
        </w:rPr>
        <w:t>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0F5" w:rsidRPr="0008614E" w:rsidRDefault="002230F5" w:rsidP="002230F5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2230F5" w:rsidRPr="0008614E" w:rsidRDefault="002230F5" w:rsidP="002230F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Pokiaľ stredná škola, na ktorú sa hlásite, používa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škola.</w:t>
      </w:r>
    </w:p>
    <w:p w:rsidR="002230F5" w:rsidRPr="0008614E" w:rsidRDefault="002230F5" w:rsidP="002230F5">
      <w:pPr>
        <w:pStyle w:val="Odsekzoznamu"/>
        <w:numPr>
          <w:ilvl w:val="0"/>
          <w:numId w:val="7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9E1B69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 a podpíše. Následne ju odošle poštou na SŠ.</w:t>
      </w:r>
    </w:p>
    <w:p w:rsidR="009E1B69" w:rsidRDefault="00ED1DE8" w:rsidP="009E1B69">
      <w:pPr>
        <w:spacing w:after="136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>Zákonný zástupca žiaka si môže podať dve prihlášky na dve rôzne SŠ alebo na dva rôzne odbory vzdelávania</w:t>
      </w:r>
      <w:r w:rsidR="009E1B69">
        <w:rPr>
          <w:rFonts w:asciiTheme="minorHAnsi" w:hAnsiTheme="minorHAnsi" w:cstheme="minorHAnsi"/>
          <w:sz w:val="28"/>
          <w:szCs w:val="28"/>
        </w:rPr>
        <w:t xml:space="preserve"> na</w:t>
      </w:r>
      <w:r w:rsidRPr="009E1B69">
        <w:rPr>
          <w:rFonts w:asciiTheme="minorHAnsi" w:hAnsiTheme="minorHAnsi" w:cstheme="minorHAnsi"/>
          <w:sz w:val="28"/>
          <w:szCs w:val="28"/>
        </w:rPr>
        <w:t xml:space="preserve"> tej istej SŠ, ktoré vyžadujú overenie špeciálnych schopností, zručností alebo nadania, </w:t>
      </w:r>
      <w:proofErr w:type="spellStart"/>
      <w:r w:rsidRPr="009E1B69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9E1B69">
        <w:rPr>
          <w:rFonts w:asciiTheme="minorHAnsi" w:hAnsiTheme="minorHAnsi" w:cstheme="minorHAnsi"/>
          <w:sz w:val="28"/>
          <w:szCs w:val="28"/>
        </w:rPr>
        <w:t xml:space="preserve">. na odbor s talentovou skúškou. </w:t>
      </w:r>
    </w:p>
    <w:p w:rsidR="002D2BD8" w:rsidRPr="009E1B69" w:rsidRDefault="002D2BD8" w:rsidP="009E1B69">
      <w:pPr>
        <w:spacing w:after="136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 xml:space="preserve">Spolu si teda žiak môže podať </w:t>
      </w:r>
      <w:r w:rsidR="009E1B69">
        <w:rPr>
          <w:rFonts w:asciiTheme="minorHAnsi" w:hAnsiTheme="minorHAnsi" w:cstheme="minorHAnsi"/>
          <w:sz w:val="28"/>
          <w:szCs w:val="28"/>
        </w:rPr>
        <w:t>2</w:t>
      </w:r>
      <w:r w:rsidRPr="009E1B69">
        <w:rPr>
          <w:rFonts w:asciiTheme="minorHAnsi" w:hAnsiTheme="minorHAnsi" w:cstheme="minorHAnsi"/>
          <w:sz w:val="28"/>
          <w:szCs w:val="28"/>
        </w:rPr>
        <w:t xml:space="preserve"> prihlášky na SŠ.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>. Nachádzajú sa tam aj štatistiky naplnenosti SŠ, zoznam</w:t>
      </w:r>
      <w:r w:rsidR="00C777C0">
        <w:rPr>
          <w:rFonts w:asciiTheme="minorHAnsi" w:hAnsiTheme="minorHAnsi" w:cstheme="minorHAnsi"/>
          <w:sz w:val="28"/>
          <w:szCs w:val="28"/>
        </w:rPr>
        <w:t>y SŠ a odkazy na jednotlivé SŠ.</w:t>
      </w:r>
    </w:p>
    <w:p w:rsidR="00A74165" w:rsidRPr="00E4551E" w:rsidRDefault="00C777C0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Prihláška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1E4114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C777C0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1E4114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E4114" w:rsidRPr="0008614E" w:rsidRDefault="001E4114" w:rsidP="001E4114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.4. – 3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9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.4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Pr="0008614E" w:rsidRDefault="001E4114" w:rsidP="001E411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E4114" w:rsidRPr="0008614E" w:rsidRDefault="001E4114" w:rsidP="001E4114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7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 w:rsidR="000E0303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Default="001E4114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A7B45"/>
    <w:rsid w:val="000E0303"/>
    <w:rsid w:val="001960D7"/>
    <w:rsid w:val="001E4114"/>
    <w:rsid w:val="00214716"/>
    <w:rsid w:val="002230F5"/>
    <w:rsid w:val="002D2BD8"/>
    <w:rsid w:val="003671F8"/>
    <w:rsid w:val="00394B64"/>
    <w:rsid w:val="00756C57"/>
    <w:rsid w:val="00757682"/>
    <w:rsid w:val="007601EF"/>
    <w:rsid w:val="009E1B69"/>
    <w:rsid w:val="00A25CFE"/>
    <w:rsid w:val="00A74165"/>
    <w:rsid w:val="00C777C0"/>
    <w:rsid w:val="00E4551E"/>
    <w:rsid w:val="00EC5440"/>
    <w:rsid w:val="00ED1DE8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F82B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4</cp:revision>
  <dcterms:created xsi:type="dcterms:W3CDTF">2024-08-23T08:07:00Z</dcterms:created>
  <dcterms:modified xsi:type="dcterms:W3CDTF">2024-08-23T08:09:00Z</dcterms:modified>
</cp:coreProperties>
</file>